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351</w:t>
      </w:r>
    </w:p>
    <w:p>
      <w:r>
        <w:t>Bundesgericht (BGE), 1999-06-14, DE</w:t>
      </w:r>
    </w:p>
    <w:p>
      <w:r>
        <w:rPr>
          <w:b/>
        </w:rPr>
        <w:t xml:space="preserve">Quelle: </w:t>
      </w:r>
      <w:r>
        <w:t>https://mcp.opencaselaw.ch/entscheid/bge_125 V 351</w:t>
      </w:r>
    </w:p>
    <w:p>
      <w:r>
        <w:t>FR: ATF 125 V 351</w:t>
      </w:r>
    </w:p>
    <w:p>
      <w:r>
        <w:t>IT: DTF 125 V 351</w:t>
      </w:r>
    </w:p>
    <w:p>
      <w:pPr>
        <w:pStyle w:val="Heading2"/>
      </w:pPr>
      <w:r>
        <w:t>Regeste</w:t>
      </w:r>
    </w:p>
    <w:p>
      <w:r>
        <w:t>Regeste Art. 4 BV; Art. 108 Abs. 1 lit. b UVG; Art. 40 BZP in Verbindung mit Art. 19 VwVG; Art. 95 Abs. 2 in Verbindung mit Art. 113 und 132 OG: Beweiswürdigung, Parteigutachten. Ein Parteigutachten besitzt nicht den gleichen Rang wie ein vom Gericht oder von einem Unfallversicherer nach dem vorgegebenen Verfahrensrecht eingeholtes Gutachten. Es verpflichtet indessen den Richter, den von der Rechtsprechung aufgestellten Richtlinien für die Beweiswürdigung folgend, zu prüfen, ob es in rechtserheblichen Fragen die Auffassung und Schlussfolgerungen des vom Gericht oder vom Unfallversicherer förmlich bestellten Gutachters derart zu erschüttern vermag, dass davon abzuweichen ist.</w:t>
      </w:r>
    </w:p>
    <w:p>
      <w:pPr>
        <w:pStyle w:val="Heading2"/>
      </w:pPr>
      <w:r>
        <w:t>Erwägungen</w:t>
      </w:r>
    </w:p>
    <w:p>
      <w:r>
        <w:rPr>
          <w:b/>
        </w:rPr>
        <w:t>E. 2</w:t>
      </w:r>
    </w:p>
    <w:p>
      <w:r>
        <w:t>Es stellt sich die Frage, ob die Beschwerdeführerin nach dem 31. Juli 1995 noch an Versicherungsleistungen auslösenden somatischen Beschwerden leidet, die auf den Unfall vom 22. Februar 1992 zurückzuführen sind. Die Vorinstanz verneinte diese Frage in Bestätigung des Einspracheentscheids im Wesentlichen mit der Begründung, das Gutachten des Dr. med. K. vom 28. Juni 1995 sei wie ein Gerichtsgutachten zu behandeln, weshalb grundsätzlich darauf abzustellen und nicht ohne zwingende Gründe davon abzuweichen sei. Die BGE 125 V 351 S. 352 Beschwerdeführerin macht demgegenüber unter Berufung auf die von ihr eingeholten und im vorinstanzlichen Verfahren aufgelegten Gutachten der Dres. med. H. und M. vom 28. März 1996 bzw. 17. Mai 1996 geltend, das erwähnte Gutachten, welches das kantonale Gericht unbesehen übernehme, weise massive Widersprüche und Mängel auf, die aktenkundig belegt seien, sodass seine Unzuverlässigkeit augenfällig sei.</w:t>
      </w:r>
    </w:p>
    <w:p>
      <w:r>
        <w:rPr>
          <w:b/>
        </w:rPr>
        <w:t>E. 3</w:t>
      </w:r>
    </w:p>
    <w:p>
      <w:r>
        <w:t>a) Das Bundesrecht schreibt nicht vor, wie die einzelnen Beweismittel zu würdigen sind. Für das gesamte Verwaltungs- und Verwaltungsgerichtsbeschwerdeverfahren gilt der Grundsatz der freien Beweiswürdigung ( Art. 40 BZP in Verbindung mit Art. 19 VwVG ; Art. 95 Abs. 2 OG in Verbindung mit Art. 113 und 132 OG ). Danach haben Versicherungsträger und Sozialversicherungsrichter die Beweise frei, d.h.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122 V 160 f. Erw. 1c mit Hinweisen). b) Dennoch hat es die Rechtsprechung mit dem Grundsatz der freien Beweiswürdigung als vereinbar erachtet, in Bezug auf bestimmte Formen medizinischer Berichte und Gutachten Richtlinien für die Beweiswürdigung aufzustellen. aa) So weicht der Richter bei Gerichtsgutachten nach der Praxis nicht ohne zwingende Gründe von der Einschätzung des medizinischen Experten ab, dessen Aufgabe es ist, seine Fachkenntnisse der Gerichtsbarkeit zur Verfügung zu BGE 125 V 351 S. 353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 BGE 118 V 290 Erw. 1b, BGE 112 V 32 f. mit Hinweisen). bb) Den im Rahmen des Verwaltungsverfahrens durch die Schweizerische Unfallversicherungsanstalt (SUVA) und durch UVG-Privatversicherer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 BGE 104 V 212 Erw. c; RKUV 1993 Nr. U 167 S. 96 Erw. 5a mit weiteren Hinweisen). Zu beachten ist, dass die SUVA bei der Einholung von solchen Gutachten sinngemäss nach den Bestimmungen des Bundeszivilprozesses zu verfahren und insbesondere die in Art. 57 ff. BZP genannten Mitwirkungsrechte der Verfahrensbeteiligten zu beachten hat (RKUV 1993 Nr. U 167 S. 96 Erw. 5b), was sinngemäss auch für die nach Art. 68 Abs. 1 UVG zugelassenen Privatversicherer gilt ( BGE 120 V 361 f. Erw. 1c). cc) In Bezug auf Berichte von Hausärzten darf und soll der Richter der Erfahrungstatsache Rechnung tragen, dass Hausärzte mitunter im Hinblick auf ihre auftragsrechtliche Vertrauensstellung in Zweifelsfällen eher zu Gunsten ihrer Patienten aussagen (unveröffentlichte Urteile B. vom 11. Juni 1997, B. vom 22. Februar 1994 und P. vom 22. Oktober 1984; Plädoyer 6/94 S. 67; MEYER-BLASER, Die Rechtspflege in der Sozialversicherung, in: BJM 1989 S. 31). dd) Was Parteigutachten anbelangt, rechtfertigt der Umstand allein, dass eine ärztliche Stellungnahme von einer Partei eingeholt und in das Verfahren eingebracht wird, nicht Zweifel an ihrem Beweiswert (ZAK 1986 S. 189 Erw. 2a in fine). ee) Auch den Berichten und Gutachten versicherungsinterner Ärzte kommt schliesslich Beweiswert zu, sofern sie als schlüssig erscheinen, BGE 125 V 351 S. 354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 BGE 122 V 161 f. Erw. 1c). c) Wie bereits erwähnt (Erw. 3b/dd), enthält auch ein Parteigutachten Äusserungen eines Sachverständigen, welche zur Feststellung eines medizinischen Sachverhalts beweismässig beitragen können. Daraus folgt indessen nicht, dass ein solches Gutachten den gleichen Rang wie ein vom Gericht oder von einem Unfallversicherer nach dem vorgegebenen Verfahrensrecht eingeholtes Gutachten besitzt. Es verpflichtet indessen - wie jede substanziiert vorgetragene Einwendung gegen ein solches Gutachten - den Richter, den von der Rechtsprechung aufgestellten Richtlinien für die Beweiswürdigung folgend, zu prüfen, ob es in rechtserheblichen Fragen die Auffassungen und Schlussfolgerungen des vom Gericht oder vom Unfallversicherer förmlich bestellten Gutachters derart zu erschüttern vermag, dass davon abzuweichen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